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74" w:rsidRDefault="00334F74">
      <w:pPr>
        <w:rPr>
          <w:b/>
        </w:rPr>
      </w:pPr>
      <w:r w:rsidRPr="00C03B33">
        <w:rPr>
          <w:b/>
          <w:noProof/>
          <w:lang w:eastAsia="en-GB"/>
        </w:rPr>
        <w:drawing>
          <wp:inline distT="0" distB="0" distL="0" distR="0" wp14:anchorId="1A77C7EF" wp14:editId="003DCF4E">
            <wp:extent cx="903992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T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66" cy="64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37" w:rsidRPr="00165F65" w:rsidRDefault="00D813AB">
      <w:pPr>
        <w:rPr>
          <w:b/>
        </w:rPr>
      </w:pPr>
      <w:r w:rsidRPr="00165F65">
        <w:rPr>
          <w:b/>
        </w:rPr>
        <w:t>Subject Knowledge Audit in Maths</w:t>
      </w:r>
    </w:p>
    <w:p w:rsidR="001C15C1" w:rsidRDefault="001C15C1">
      <w:pPr>
        <w:rPr>
          <w:b/>
        </w:rPr>
      </w:pPr>
    </w:p>
    <w:p w:rsidR="00165F65" w:rsidRDefault="00165F65">
      <w:pPr>
        <w:rPr>
          <w:b/>
        </w:rPr>
      </w:pPr>
      <w:r>
        <w:rPr>
          <w:b/>
        </w:rPr>
        <w:t>Pre course task</w:t>
      </w:r>
      <w:r w:rsidR="00176701">
        <w:rPr>
          <w:b/>
        </w:rPr>
        <w:t>s</w:t>
      </w:r>
      <w:r>
        <w:rPr>
          <w:b/>
        </w:rPr>
        <w:t>:</w:t>
      </w:r>
    </w:p>
    <w:p w:rsidR="00176701" w:rsidRDefault="00176701" w:rsidP="00176701">
      <w:pPr>
        <w:tabs>
          <w:tab w:val="left" w:pos="2730"/>
        </w:tabs>
        <w:rPr>
          <w:b/>
        </w:rPr>
      </w:pPr>
      <w:bookmarkStart w:id="0" w:name="_GoBack"/>
      <w:r>
        <w:rPr>
          <w:b/>
        </w:rPr>
        <w:t xml:space="preserve">Task 1: </w:t>
      </w:r>
      <w:r w:rsidR="00165F65" w:rsidRPr="00552110">
        <w:t xml:space="preserve">Look at the </w:t>
      </w:r>
      <w:r w:rsidR="00947A14" w:rsidRPr="00552110">
        <w:rPr>
          <w:color w:val="FF0000"/>
        </w:rPr>
        <w:t>new</w:t>
      </w:r>
      <w:r w:rsidR="00947A14" w:rsidRPr="00552110">
        <w:t xml:space="preserve"> </w:t>
      </w:r>
      <w:r w:rsidR="00E93DC4" w:rsidRPr="00552110">
        <w:t xml:space="preserve">(2015 onwards) </w:t>
      </w:r>
      <w:r w:rsidR="00165F65" w:rsidRPr="00552110">
        <w:t>programmes of study for both KS2</w:t>
      </w:r>
      <w:r w:rsidR="00947A14" w:rsidRPr="00552110">
        <w:t>,</w:t>
      </w:r>
      <w:r w:rsidR="00165F65" w:rsidRPr="00552110">
        <w:t xml:space="preserve"> KS3</w:t>
      </w:r>
      <w:r w:rsidR="00947A14" w:rsidRPr="00552110">
        <w:t>, KS4</w:t>
      </w:r>
      <w:r w:rsidR="00EB4390" w:rsidRPr="00552110">
        <w:t xml:space="preserve"> in M</w:t>
      </w:r>
      <w:r w:rsidR="00165F65" w:rsidRPr="00552110">
        <w:t>aths so that you are familiar with them</w:t>
      </w:r>
      <w:r w:rsidRPr="00176701">
        <w:rPr>
          <w:b/>
        </w:rPr>
        <w:t xml:space="preserve"> </w:t>
      </w:r>
    </w:p>
    <w:p w:rsidR="00176701" w:rsidRDefault="00176701" w:rsidP="00176701">
      <w:pPr>
        <w:tabs>
          <w:tab w:val="left" w:pos="2730"/>
        </w:tabs>
      </w:pPr>
      <w:r>
        <w:rPr>
          <w:b/>
        </w:rPr>
        <w:t>Task 2:</w:t>
      </w:r>
      <w:r w:rsidR="00D230F9">
        <w:rPr>
          <w:b/>
        </w:rPr>
        <w:t xml:space="preserve"> </w:t>
      </w:r>
      <w:r>
        <w:t>Complete the GCSE foundation and higher tier paper in blue pen.  In red pen answer it as you think a student would do.  In green pen write down any misconceptions you think students are likely to make.</w:t>
      </w:r>
    </w:p>
    <w:bookmarkEnd w:id="0"/>
    <w:p w:rsidR="00D230F9" w:rsidRDefault="00D230F9" w:rsidP="00176701">
      <w:pPr>
        <w:tabs>
          <w:tab w:val="left" w:pos="2730"/>
        </w:tabs>
        <w:rPr>
          <w:b/>
        </w:rPr>
      </w:pPr>
    </w:p>
    <w:p w:rsidR="00D813AB" w:rsidRPr="00165F65" w:rsidRDefault="00D813AB">
      <w:pPr>
        <w:rPr>
          <w:b/>
        </w:rPr>
      </w:pPr>
      <w:r w:rsidRPr="00165F65">
        <w:rPr>
          <w:b/>
        </w:rPr>
        <w:t>Purpose of the audit</w:t>
      </w:r>
    </w:p>
    <w:p w:rsidR="00165F65" w:rsidRDefault="00D813AB">
      <w:r>
        <w:t xml:space="preserve">During your PGCE training with Cheshire East SCITT you will need to identify your </w:t>
      </w:r>
      <w:r w:rsidR="00165F65">
        <w:t>strengths</w:t>
      </w:r>
      <w:r>
        <w:t xml:space="preserve"> and weaknesses within your own Subject </w:t>
      </w:r>
      <w:r w:rsidR="00165F65">
        <w:t>Knowledge</w:t>
      </w:r>
      <w:r>
        <w:t xml:space="preserve">.  When the course begins, the audit will also be used to </w:t>
      </w:r>
      <w:r w:rsidR="00165F65">
        <w:t>informal</w:t>
      </w:r>
      <w:r>
        <w:t xml:space="preserve"> planning for further development of “key gap areas” of subject knowledge, which alongside your subject </w:t>
      </w:r>
      <w:r w:rsidR="00165F65">
        <w:t>specialist will</w:t>
      </w:r>
      <w:r>
        <w:t xml:space="preserve"> identify areas of the curriculum</w:t>
      </w:r>
      <w:r w:rsidR="00165F65">
        <w:t xml:space="preserve"> about which you have less security of knowledge and need revision.</w:t>
      </w:r>
    </w:p>
    <w:p w:rsidR="00165F65" w:rsidRDefault="00165F65">
      <w:r>
        <w:t>Please complete the audit as accurately and completely as possible using the codes below:</w:t>
      </w:r>
    </w:p>
    <w:p w:rsidR="00165F65" w:rsidRPr="00227773" w:rsidRDefault="00165F65">
      <w:pPr>
        <w:rPr>
          <w:b/>
        </w:rPr>
      </w:pPr>
      <w:r w:rsidRPr="00227773">
        <w:rPr>
          <w:b/>
        </w:rPr>
        <w:t xml:space="preserve">Knowledge </w:t>
      </w:r>
    </w:p>
    <w:p w:rsidR="00165F65" w:rsidRPr="00D230F9" w:rsidRDefault="00165F65" w:rsidP="00176701">
      <w:pPr>
        <w:shd w:val="clear" w:color="auto" w:fill="FF0000"/>
        <w:rPr>
          <w:color w:val="000000" w:themeColor="text1"/>
          <w:sz w:val="28"/>
          <w:szCs w:val="28"/>
        </w:rPr>
      </w:pPr>
      <w:r w:rsidRPr="00165F65">
        <w:rPr>
          <w:color w:val="000000" w:themeColor="text1"/>
        </w:rPr>
        <w:t xml:space="preserve"> </w:t>
      </w:r>
      <w:r w:rsidRPr="00D230F9">
        <w:rPr>
          <w:color w:val="000000" w:themeColor="text1"/>
          <w:sz w:val="28"/>
          <w:szCs w:val="28"/>
          <w:highlight w:val="red"/>
        </w:rPr>
        <w:t>1 no secure knowledge</w:t>
      </w:r>
    </w:p>
    <w:p w:rsidR="00165F65" w:rsidRPr="00D230F9" w:rsidRDefault="00165F65" w:rsidP="00176701">
      <w:pPr>
        <w:shd w:val="clear" w:color="auto" w:fill="E36C0A" w:themeFill="accent6" w:themeFillShade="BF"/>
        <w:rPr>
          <w:color w:val="000000" w:themeColor="text1"/>
          <w:sz w:val="28"/>
          <w:szCs w:val="28"/>
        </w:rPr>
      </w:pPr>
      <w:proofErr w:type="gramStart"/>
      <w:r w:rsidRPr="00D230F9">
        <w:rPr>
          <w:color w:val="000000" w:themeColor="text1"/>
          <w:sz w:val="28"/>
          <w:szCs w:val="28"/>
        </w:rPr>
        <w:t>2</w:t>
      </w:r>
      <w:proofErr w:type="gramEnd"/>
      <w:r w:rsidRPr="00D230F9">
        <w:rPr>
          <w:color w:val="000000" w:themeColor="text1"/>
          <w:sz w:val="28"/>
          <w:szCs w:val="28"/>
        </w:rPr>
        <w:t xml:space="preserve"> basic kno</w:t>
      </w:r>
      <w:r w:rsidR="00176701" w:rsidRPr="00D230F9">
        <w:rPr>
          <w:color w:val="000000" w:themeColor="text1"/>
          <w:sz w:val="28"/>
          <w:szCs w:val="28"/>
        </w:rPr>
        <w:t>wledge that can be applied to th</w:t>
      </w:r>
      <w:r w:rsidRPr="00D230F9">
        <w:rPr>
          <w:color w:val="000000" w:themeColor="text1"/>
          <w:sz w:val="28"/>
          <w:szCs w:val="28"/>
        </w:rPr>
        <w:t>e solution of problems</w:t>
      </w:r>
    </w:p>
    <w:p w:rsidR="001C15C1" w:rsidRDefault="00165F65" w:rsidP="00176701">
      <w:pPr>
        <w:shd w:val="clear" w:color="auto" w:fill="00B050"/>
        <w:rPr>
          <w:color w:val="000000" w:themeColor="text1"/>
          <w:sz w:val="28"/>
          <w:szCs w:val="28"/>
        </w:rPr>
      </w:pPr>
      <w:r w:rsidRPr="00D230F9">
        <w:rPr>
          <w:color w:val="000000" w:themeColor="text1"/>
          <w:sz w:val="28"/>
          <w:szCs w:val="28"/>
        </w:rPr>
        <w:t>3 secure knowledge that can be used to explain others</w:t>
      </w:r>
    </w:p>
    <w:p w:rsidR="001C15C1" w:rsidRDefault="001C15C1" w:rsidP="00176701">
      <w:pPr>
        <w:shd w:val="clear" w:color="auto" w:fill="00B050"/>
        <w:rPr>
          <w:color w:val="000000" w:themeColor="text1"/>
          <w:sz w:val="28"/>
          <w:szCs w:val="28"/>
        </w:rPr>
      </w:pPr>
    </w:p>
    <w:p w:rsidR="00014735" w:rsidRDefault="001C15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14735" w:rsidRDefault="00014735">
      <w:pPr>
        <w:rPr>
          <w:color w:val="000000" w:themeColor="text1"/>
          <w:sz w:val="28"/>
          <w:szCs w:val="28"/>
        </w:rPr>
        <w:sectPr w:rsidR="00014735" w:rsidSect="00D230F9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6190"/>
        <w:gridCol w:w="614"/>
        <w:gridCol w:w="724"/>
        <w:gridCol w:w="670"/>
        <w:gridCol w:w="669"/>
        <w:gridCol w:w="669"/>
        <w:gridCol w:w="670"/>
        <w:gridCol w:w="4394"/>
      </w:tblGrid>
      <w:tr w:rsidR="008641FD" w:rsidRPr="00014735" w:rsidTr="008641FD">
        <w:trPr>
          <w:cantSplit/>
          <w:trHeight w:val="1134"/>
        </w:trPr>
        <w:tc>
          <w:tcPr>
            <w:tcW w:w="15417" w:type="dxa"/>
            <w:gridSpan w:val="9"/>
            <w:tcBorders>
              <w:top w:val="nil"/>
              <w:left w:val="nil"/>
              <w:right w:val="nil"/>
            </w:tcBorders>
          </w:tcPr>
          <w:p w:rsidR="008641FD" w:rsidRPr="00D230F9" w:rsidRDefault="008641FD" w:rsidP="008641FD">
            <w:pPr>
              <w:shd w:val="clear" w:color="auto" w:fill="FF0000"/>
              <w:rPr>
                <w:color w:val="000000" w:themeColor="text1"/>
                <w:sz w:val="28"/>
                <w:szCs w:val="28"/>
              </w:rPr>
            </w:pPr>
            <w:r w:rsidRPr="00D230F9">
              <w:rPr>
                <w:color w:val="000000" w:themeColor="text1"/>
                <w:sz w:val="28"/>
                <w:szCs w:val="28"/>
                <w:highlight w:val="red"/>
              </w:rPr>
              <w:lastRenderedPageBreak/>
              <w:t>1 no secure knowledge</w:t>
            </w:r>
          </w:p>
          <w:p w:rsidR="008641FD" w:rsidRPr="00D230F9" w:rsidRDefault="008641FD" w:rsidP="008641FD">
            <w:pPr>
              <w:shd w:val="clear" w:color="auto" w:fill="E36C0A" w:themeFill="accent6" w:themeFillShade="BF"/>
              <w:rPr>
                <w:color w:val="000000" w:themeColor="text1"/>
                <w:sz w:val="28"/>
                <w:szCs w:val="28"/>
              </w:rPr>
            </w:pPr>
            <w:r w:rsidRPr="00D230F9">
              <w:rPr>
                <w:color w:val="000000" w:themeColor="text1"/>
                <w:sz w:val="28"/>
                <w:szCs w:val="28"/>
              </w:rPr>
              <w:t>2 basic knowledge that can be applied to the solution of problems</w:t>
            </w:r>
          </w:p>
          <w:p w:rsidR="008641FD" w:rsidRDefault="008641FD" w:rsidP="008641FD">
            <w:pPr>
              <w:shd w:val="clear" w:color="auto" w:fill="00B050"/>
              <w:rPr>
                <w:color w:val="000000" w:themeColor="text1"/>
                <w:sz w:val="28"/>
                <w:szCs w:val="28"/>
              </w:rPr>
            </w:pPr>
            <w:r w:rsidRPr="00D230F9">
              <w:rPr>
                <w:color w:val="000000" w:themeColor="text1"/>
                <w:sz w:val="28"/>
                <w:szCs w:val="28"/>
              </w:rPr>
              <w:t>3 secure knowledge that can be used to explain others</w:t>
            </w:r>
          </w:p>
          <w:p w:rsidR="008641FD" w:rsidRPr="00014735" w:rsidRDefault="008641FD" w:rsidP="008641FD">
            <w:pPr>
              <w:rPr>
                <w:b/>
                <w:sz w:val="24"/>
                <w:szCs w:val="24"/>
              </w:rPr>
            </w:pPr>
          </w:p>
        </w:tc>
      </w:tr>
      <w:tr w:rsidR="008641FD" w:rsidRPr="00014735" w:rsidTr="005545EA">
        <w:tc>
          <w:tcPr>
            <w:tcW w:w="817" w:type="dxa"/>
            <w:textDirection w:val="btLr"/>
          </w:tcPr>
          <w:p w:rsidR="008641FD" w:rsidRPr="00014735" w:rsidRDefault="008641FD" w:rsidP="001C15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0" w:type="dxa"/>
          </w:tcPr>
          <w:p w:rsidR="008641FD" w:rsidRPr="00014735" w:rsidRDefault="008641FD" w:rsidP="00014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  <w:gridSpan w:val="6"/>
          </w:tcPr>
          <w:p w:rsidR="008641FD" w:rsidRPr="00014735" w:rsidRDefault="008641FD" w:rsidP="00864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(1,2,3) Review Dates</w:t>
            </w:r>
          </w:p>
        </w:tc>
        <w:tc>
          <w:tcPr>
            <w:tcW w:w="4394" w:type="dxa"/>
          </w:tcPr>
          <w:p w:rsidR="008641FD" w:rsidRPr="00014735" w:rsidRDefault="008641FD" w:rsidP="000147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 w:val="restart"/>
            <w:textDirection w:val="btLr"/>
          </w:tcPr>
          <w:p w:rsidR="001C15C1" w:rsidRPr="00014735" w:rsidRDefault="001C15C1" w:rsidP="001C15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6190" w:type="dxa"/>
          </w:tcPr>
          <w:p w:rsidR="001C15C1" w:rsidRPr="00014735" w:rsidRDefault="001C15C1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Maths topic</w:t>
            </w:r>
          </w:p>
        </w:tc>
        <w:tc>
          <w:tcPr>
            <w:tcW w:w="614" w:type="dxa"/>
          </w:tcPr>
          <w:p w:rsidR="001C15C1" w:rsidRPr="00014735" w:rsidRDefault="008641FD" w:rsidP="00014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724" w:type="dxa"/>
          </w:tcPr>
          <w:p w:rsidR="001C15C1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Dec</w:t>
            </w:r>
          </w:p>
        </w:tc>
        <w:tc>
          <w:tcPr>
            <w:tcW w:w="670" w:type="dxa"/>
          </w:tcPr>
          <w:p w:rsidR="001C15C1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669" w:type="dxa"/>
          </w:tcPr>
          <w:p w:rsidR="001C15C1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669" w:type="dxa"/>
          </w:tcPr>
          <w:p w:rsidR="001C15C1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670" w:type="dxa"/>
          </w:tcPr>
          <w:p w:rsidR="001C15C1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4394" w:type="dxa"/>
          </w:tcPr>
          <w:p w:rsidR="001C15C1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Evidence</w:t>
            </w: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Integers, powers and square/cube roots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Estimation , approximation and bounds of error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Fractional and negative indices, Index laws, reciprocals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Standard form, Scientific notation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Rational and irrational numbers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Use of significant figures and decimal places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Numerical surds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Complex numbers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Logical proof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Number theory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Set theory/Venn diagrams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Computability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 w:val="restart"/>
            <w:textDirection w:val="btLr"/>
          </w:tcPr>
          <w:p w:rsidR="001C15C1" w:rsidRPr="00014735" w:rsidRDefault="001C15C1" w:rsidP="00D230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Algebra</w:t>
            </w: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Algebraic Manipulation, Functions, Equations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Linear Equations, Simultaneous Linear Equations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Inequalities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Numerical methods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Arithmetic sequences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Graphs, Domains and Ranges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Quadratics, higher polynomials, simultaneous quadratics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Transformation of functions and their graphs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Indices and logarithms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Curve Sketching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014735" w:rsidRPr="00014735" w:rsidTr="008641FD"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014735" w:rsidRPr="00014735" w:rsidRDefault="00014735" w:rsidP="00D230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left w:val="nil"/>
              <w:bottom w:val="single" w:sz="4" w:space="0" w:color="auto"/>
              <w:right w:val="nil"/>
            </w:tcBorders>
          </w:tcPr>
          <w:p w:rsidR="008641FD" w:rsidRDefault="008641FD" w:rsidP="00165F65">
            <w:pPr>
              <w:rPr>
                <w:b/>
                <w:sz w:val="24"/>
                <w:szCs w:val="24"/>
              </w:rPr>
            </w:pPr>
          </w:p>
          <w:p w:rsidR="008641FD" w:rsidRDefault="008641FD" w:rsidP="00165F65">
            <w:pPr>
              <w:rPr>
                <w:b/>
                <w:sz w:val="24"/>
                <w:szCs w:val="24"/>
              </w:rPr>
            </w:pPr>
          </w:p>
          <w:p w:rsidR="008641FD" w:rsidRPr="00014735" w:rsidRDefault="008641FD" w:rsidP="00165F65">
            <w:pPr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</w:tcPr>
          <w:p w:rsidR="00014735" w:rsidRPr="00014735" w:rsidRDefault="00014735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:rsidR="00014735" w:rsidRPr="00014735" w:rsidRDefault="00014735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014735" w:rsidRPr="00014735" w:rsidRDefault="00014735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014735" w:rsidRPr="00014735" w:rsidRDefault="00014735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014735" w:rsidRPr="00014735" w:rsidRDefault="00014735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</w:tcPr>
          <w:p w:rsidR="00014735" w:rsidRPr="00014735" w:rsidRDefault="00014735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014735" w:rsidRPr="00014735" w:rsidRDefault="00014735" w:rsidP="00165F65">
            <w:pPr>
              <w:rPr>
                <w:sz w:val="24"/>
                <w:szCs w:val="24"/>
              </w:rPr>
            </w:pPr>
          </w:p>
        </w:tc>
      </w:tr>
      <w:tr w:rsidR="00014735" w:rsidRPr="00014735" w:rsidTr="008641FD">
        <w:tc>
          <w:tcPr>
            <w:tcW w:w="817" w:type="dxa"/>
            <w:tcBorders>
              <w:top w:val="single" w:sz="4" w:space="0" w:color="auto"/>
            </w:tcBorders>
            <w:textDirection w:val="btLr"/>
          </w:tcPr>
          <w:p w:rsidR="00014735" w:rsidRPr="00014735" w:rsidRDefault="00014735" w:rsidP="00D230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014735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Topic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014735" w:rsidRPr="00014735" w:rsidRDefault="008641FD" w:rsidP="00014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14735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Dec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014735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014735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014735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014735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4735" w:rsidRPr="00014735" w:rsidRDefault="00014735" w:rsidP="00014735">
            <w:pPr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Evidence</w:t>
            </w:r>
          </w:p>
        </w:tc>
      </w:tr>
      <w:tr w:rsidR="001C15C1" w:rsidRPr="00014735" w:rsidTr="008641FD">
        <w:tc>
          <w:tcPr>
            <w:tcW w:w="817" w:type="dxa"/>
            <w:vMerge w:val="restart"/>
            <w:textDirection w:val="btLr"/>
          </w:tcPr>
          <w:p w:rsidR="001C15C1" w:rsidRPr="00014735" w:rsidRDefault="001C15C1" w:rsidP="00D230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Shape and Space</w:t>
            </w: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Angles, parallel lines, triangles, quadrilaterals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Pythagoras Theorem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Circle theorems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Transformations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Measurement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Constructions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660D4D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Areas, volume, perimeters and surface area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Loci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Congruence and similarity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Trigonometry, graphs of trigonometric functions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7B16E8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Vectors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D2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7B16E8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Matrices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 w:val="restart"/>
            <w:textDirection w:val="btLr"/>
          </w:tcPr>
          <w:p w:rsidR="001C15C1" w:rsidRPr="00014735" w:rsidRDefault="001C15C1" w:rsidP="00D230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Statistics</w:t>
            </w: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The statistical process - planning, collecting, processing, interpreting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Data- collection methods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Statistical tables and charts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Averages( mean, mode and median)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Scatter graphs and correlation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Sampling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Interquartile range, moving averages, standard deviation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 w:val="restart"/>
            <w:textDirection w:val="btLr"/>
          </w:tcPr>
          <w:p w:rsidR="001C15C1" w:rsidRPr="00014735" w:rsidRDefault="001C15C1" w:rsidP="00D230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Practical probability, estimates of probability, probability scale, effects of sample size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Theoretical probabilities for one and two events, sample space diagrams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Independent and mutually - exclusive events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Tree diagrams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rPr>
          <w:trHeight w:val="335"/>
        </w:trPr>
        <w:tc>
          <w:tcPr>
            <w:tcW w:w="817" w:type="dxa"/>
            <w:vMerge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65F65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Combinations and permutations</w:t>
            </w:r>
          </w:p>
        </w:tc>
        <w:tc>
          <w:tcPr>
            <w:tcW w:w="61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65F65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 w:val="restart"/>
            <w:textDirection w:val="btLr"/>
          </w:tcPr>
          <w:p w:rsidR="001C15C1" w:rsidRPr="00014735" w:rsidRDefault="001C15C1" w:rsidP="007B16E8">
            <w:pPr>
              <w:ind w:left="113" w:right="113"/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6190" w:type="dxa"/>
          </w:tcPr>
          <w:p w:rsidR="001C15C1" w:rsidRPr="00014735" w:rsidRDefault="001C15C1" w:rsidP="001C15C1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 xml:space="preserve">Use and manipulation of formula </w:t>
            </w:r>
          </w:p>
        </w:tc>
        <w:tc>
          <w:tcPr>
            <w:tcW w:w="61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7B16E8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Dynamics of a particle</w:t>
            </w:r>
          </w:p>
        </w:tc>
        <w:tc>
          <w:tcPr>
            <w:tcW w:w="61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7B16E8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Moments of Forces</w:t>
            </w:r>
          </w:p>
        </w:tc>
        <w:tc>
          <w:tcPr>
            <w:tcW w:w="61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c>
          <w:tcPr>
            <w:tcW w:w="817" w:type="dxa"/>
            <w:vMerge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C15C1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Momentum</w:t>
            </w:r>
          </w:p>
        </w:tc>
        <w:tc>
          <w:tcPr>
            <w:tcW w:w="61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</w:tr>
      <w:tr w:rsidR="001C15C1" w:rsidRPr="00014735" w:rsidTr="008641FD">
        <w:trPr>
          <w:trHeight w:val="372"/>
        </w:trPr>
        <w:tc>
          <w:tcPr>
            <w:tcW w:w="817" w:type="dxa"/>
            <w:vMerge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1C15C1" w:rsidRPr="00014735" w:rsidRDefault="001C15C1" w:rsidP="001C15C1">
            <w:pPr>
              <w:rPr>
                <w:b/>
                <w:sz w:val="24"/>
                <w:szCs w:val="24"/>
              </w:rPr>
            </w:pPr>
            <w:r w:rsidRPr="00014735">
              <w:rPr>
                <w:b/>
                <w:sz w:val="24"/>
                <w:szCs w:val="24"/>
              </w:rPr>
              <w:t>Equilibrium of forces</w:t>
            </w:r>
          </w:p>
        </w:tc>
        <w:tc>
          <w:tcPr>
            <w:tcW w:w="61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C15C1" w:rsidRPr="00014735" w:rsidRDefault="001C15C1" w:rsidP="001C15C1">
            <w:pPr>
              <w:rPr>
                <w:sz w:val="24"/>
                <w:szCs w:val="24"/>
              </w:rPr>
            </w:pPr>
          </w:p>
        </w:tc>
      </w:tr>
    </w:tbl>
    <w:p w:rsidR="007B16E8" w:rsidRDefault="007B16E8" w:rsidP="007B16E8"/>
    <w:p w:rsidR="008641FD" w:rsidRDefault="008641FD" w:rsidP="00D230F9">
      <w:pPr>
        <w:autoSpaceDE w:val="0"/>
        <w:autoSpaceDN w:val="0"/>
        <w:adjustRightInd w:val="0"/>
        <w:rPr>
          <w:b/>
          <w:sz w:val="24"/>
          <w:szCs w:val="24"/>
        </w:rPr>
        <w:sectPr w:rsidR="008641FD" w:rsidSect="001C15C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230F9" w:rsidRPr="00D230F9" w:rsidRDefault="00D47BC6" w:rsidP="00D230F9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Maths - </w:t>
      </w:r>
      <w:r w:rsidR="00D230F9" w:rsidRPr="00D230F9">
        <w:rPr>
          <w:b/>
          <w:sz w:val="24"/>
          <w:szCs w:val="24"/>
        </w:rPr>
        <w:t>Useful reading/resources</w:t>
      </w:r>
    </w:p>
    <w:p w:rsidR="00D230F9" w:rsidRPr="00D230F9" w:rsidRDefault="00D230F9" w:rsidP="00D230F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230F9">
        <w:rPr>
          <w:rFonts w:cs="Arial"/>
          <w:bCs/>
          <w:sz w:val="24"/>
          <w:szCs w:val="24"/>
        </w:rPr>
        <w:t>Section 1: General</w:t>
      </w:r>
    </w:p>
    <w:p w:rsidR="00D230F9" w:rsidRPr="00D230F9" w:rsidRDefault="00D230F9" w:rsidP="00D230F9">
      <w:pPr>
        <w:rPr>
          <w:rFonts w:cs="Arial"/>
          <w:sz w:val="24"/>
          <w:szCs w:val="24"/>
        </w:rPr>
      </w:pPr>
      <w:r w:rsidRPr="00D230F9">
        <w:rPr>
          <w:rFonts w:cs="Arial"/>
          <w:sz w:val="24"/>
          <w:szCs w:val="24"/>
        </w:rPr>
        <w:t>Becoming a successful teacher of Maths – Howard Tanner</w:t>
      </w:r>
    </w:p>
    <w:p w:rsidR="00D230F9" w:rsidRPr="00D230F9" w:rsidRDefault="00D230F9" w:rsidP="00D230F9">
      <w:pPr>
        <w:rPr>
          <w:rFonts w:cs="Arial"/>
          <w:sz w:val="24"/>
          <w:szCs w:val="24"/>
        </w:rPr>
      </w:pPr>
      <w:r w:rsidRPr="00D230F9">
        <w:rPr>
          <w:rFonts w:cs="Arial"/>
          <w:sz w:val="24"/>
          <w:szCs w:val="24"/>
        </w:rPr>
        <w:t>Issues in Maths teaching – Peter Gates</w:t>
      </w:r>
    </w:p>
    <w:p w:rsidR="00D230F9" w:rsidRPr="00D230F9" w:rsidRDefault="00D230F9" w:rsidP="00D230F9">
      <w:pPr>
        <w:rPr>
          <w:rFonts w:cs="Arial"/>
          <w:sz w:val="24"/>
          <w:szCs w:val="24"/>
        </w:rPr>
      </w:pPr>
      <w:r w:rsidRPr="00D230F9">
        <w:rPr>
          <w:rFonts w:cs="Arial"/>
          <w:sz w:val="24"/>
          <w:szCs w:val="24"/>
        </w:rPr>
        <w:t>Learning to teach in a secondary School – Susan Capel</w:t>
      </w:r>
    </w:p>
    <w:p w:rsidR="00D230F9" w:rsidRPr="00D230F9" w:rsidRDefault="00D230F9" w:rsidP="00D230F9">
      <w:pPr>
        <w:rPr>
          <w:rFonts w:cs="Arial"/>
          <w:sz w:val="24"/>
          <w:szCs w:val="24"/>
        </w:rPr>
      </w:pPr>
      <w:r w:rsidRPr="00D230F9">
        <w:rPr>
          <w:rFonts w:cs="Arial"/>
          <w:sz w:val="24"/>
          <w:szCs w:val="24"/>
        </w:rPr>
        <w:t>Learning to teach Maths in Secondary Schools – Sue Johnston – Wilder</w:t>
      </w:r>
    </w:p>
    <w:p w:rsidR="00D230F9" w:rsidRPr="00D230F9" w:rsidRDefault="00D230F9" w:rsidP="00D230F9">
      <w:pPr>
        <w:rPr>
          <w:rFonts w:cs="Arial"/>
          <w:sz w:val="24"/>
          <w:szCs w:val="24"/>
        </w:rPr>
      </w:pPr>
      <w:r w:rsidRPr="00D230F9">
        <w:rPr>
          <w:rFonts w:cs="Arial"/>
          <w:sz w:val="24"/>
          <w:szCs w:val="24"/>
        </w:rPr>
        <w:t>Thinking Mathematically – J Mason</w:t>
      </w:r>
    </w:p>
    <w:p w:rsidR="00D230F9" w:rsidRPr="00D230F9" w:rsidRDefault="00D230F9" w:rsidP="00D230F9">
      <w:pPr>
        <w:rPr>
          <w:rFonts w:cs="Arial"/>
          <w:sz w:val="24"/>
          <w:szCs w:val="24"/>
        </w:rPr>
      </w:pPr>
      <w:r w:rsidRPr="00D230F9">
        <w:rPr>
          <w:rFonts w:cs="Arial"/>
          <w:sz w:val="24"/>
          <w:szCs w:val="24"/>
        </w:rPr>
        <w:t>Developing thinking in Geometry – Sue Johnston</w:t>
      </w:r>
      <w:proofErr w:type="gramStart"/>
      <w:r w:rsidRPr="00D230F9">
        <w:rPr>
          <w:rFonts w:cs="Arial"/>
          <w:sz w:val="24"/>
          <w:szCs w:val="24"/>
        </w:rPr>
        <w:t>-  Wilder</w:t>
      </w:r>
      <w:proofErr w:type="gramEnd"/>
    </w:p>
    <w:p w:rsidR="00D230F9" w:rsidRPr="00D230F9" w:rsidRDefault="00D230F9" w:rsidP="00D230F9">
      <w:pPr>
        <w:rPr>
          <w:rFonts w:cs="Arial"/>
          <w:sz w:val="24"/>
          <w:szCs w:val="24"/>
        </w:rPr>
      </w:pPr>
      <w:r w:rsidRPr="00D230F9">
        <w:rPr>
          <w:rFonts w:cs="Arial"/>
          <w:sz w:val="24"/>
          <w:szCs w:val="24"/>
        </w:rPr>
        <w:t>Developing Thinking in Algebra – John Mason</w:t>
      </w:r>
    </w:p>
    <w:p w:rsidR="00D230F9" w:rsidRPr="00D230F9" w:rsidRDefault="00D230F9" w:rsidP="00D230F9">
      <w:pPr>
        <w:rPr>
          <w:sz w:val="24"/>
          <w:szCs w:val="24"/>
        </w:rPr>
      </w:pPr>
    </w:p>
    <w:p w:rsidR="00D230F9" w:rsidRPr="00D230F9" w:rsidRDefault="00D230F9" w:rsidP="00D230F9">
      <w:pPr>
        <w:rPr>
          <w:b/>
          <w:sz w:val="24"/>
          <w:szCs w:val="24"/>
        </w:rPr>
      </w:pPr>
      <w:r w:rsidRPr="00D230F9">
        <w:rPr>
          <w:b/>
          <w:sz w:val="24"/>
          <w:szCs w:val="24"/>
        </w:rPr>
        <w:t>Resources</w:t>
      </w:r>
    </w:p>
    <w:p w:rsidR="00D230F9" w:rsidRPr="00D230F9" w:rsidRDefault="00D230F9" w:rsidP="00D230F9">
      <w:pPr>
        <w:rPr>
          <w:sz w:val="24"/>
          <w:szCs w:val="24"/>
        </w:rPr>
      </w:pPr>
      <w:r w:rsidRPr="00D230F9">
        <w:rPr>
          <w:sz w:val="24"/>
          <w:szCs w:val="24"/>
        </w:rPr>
        <w:t>Mathsbox.org</w:t>
      </w:r>
    </w:p>
    <w:p w:rsidR="00D230F9" w:rsidRPr="00D230F9" w:rsidRDefault="00D230F9" w:rsidP="00D230F9">
      <w:pPr>
        <w:rPr>
          <w:sz w:val="24"/>
          <w:szCs w:val="24"/>
        </w:rPr>
      </w:pPr>
      <w:proofErr w:type="spellStart"/>
      <w:r w:rsidRPr="00D230F9">
        <w:rPr>
          <w:sz w:val="24"/>
          <w:szCs w:val="24"/>
        </w:rPr>
        <w:t>Teachitmaths</w:t>
      </w:r>
      <w:proofErr w:type="spellEnd"/>
    </w:p>
    <w:p w:rsidR="00D230F9" w:rsidRPr="00D230F9" w:rsidRDefault="00D230F9" w:rsidP="00D230F9">
      <w:pPr>
        <w:rPr>
          <w:sz w:val="24"/>
          <w:szCs w:val="24"/>
        </w:rPr>
      </w:pPr>
      <w:r w:rsidRPr="00D230F9">
        <w:rPr>
          <w:sz w:val="24"/>
          <w:szCs w:val="24"/>
        </w:rPr>
        <w:t>Resourceaholic.com</w:t>
      </w:r>
    </w:p>
    <w:p w:rsidR="00D230F9" w:rsidRPr="00D230F9" w:rsidRDefault="00D230F9" w:rsidP="00D230F9">
      <w:pPr>
        <w:rPr>
          <w:sz w:val="24"/>
          <w:szCs w:val="24"/>
        </w:rPr>
      </w:pPr>
      <w:r w:rsidRPr="00D230F9">
        <w:rPr>
          <w:sz w:val="24"/>
          <w:szCs w:val="24"/>
        </w:rPr>
        <w:t>Newintegralmaths.org</w:t>
      </w:r>
    </w:p>
    <w:p w:rsidR="00D230F9" w:rsidRPr="00D230F9" w:rsidRDefault="00D230F9" w:rsidP="00D230F9">
      <w:pPr>
        <w:rPr>
          <w:sz w:val="24"/>
          <w:szCs w:val="24"/>
        </w:rPr>
      </w:pPr>
      <w:proofErr w:type="spellStart"/>
      <w:r w:rsidRPr="00D230F9">
        <w:rPr>
          <w:sz w:val="24"/>
          <w:szCs w:val="24"/>
        </w:rPr>
        <w:t>Nrich</w:t>
      </w:r>
      <w:proofErr w:type="spellEnd"/>
    </w:p>
    <w:p w:rsidR="00D230F9" w:rsidRPr="00D230F9" w:rsidRDefault="00D230F9" w:rsidP="00D230F9">
      <w:pPr>
        <w:rPr>
          <w:sz w:val="24"/>
          <w:szCs w:val="24"/>
        </w:rPr>
      </w:pPr>
      <w:r w:rsidRPr="00D230F9">
        <w:rPr>
          <w:sz w:val="24"/>
          <w:szCs w:val="24"/>
        </w:rPr>
        <w:t>Mathsalicious.com</w:t>
      </w:r>
    </w:p>
    <w:p w:rsidR="00D230F9" w:rsidRDefault="00D230F9" w:rsidP="00D230F9">
      <w:pPr>
        <w:rPr>
          <w:sz w:val="24"/>
          <w:szCs w:val="24"/>
        </w:rPr>
      </w:pPr>
      <w:r w:rsidRPr="00D230F9">
        <w:rPr>
          <w:sz w:val="24"/>
          <w:szCs w:val="24"/>
        </w:rPr>
        <w:t>Donsteward.blogspot.co.uk</w:t>
      </w:r>
    </w:p>
    <w:p w:rsidR="007B16E8" w:rsidRPr="00D230F9" w:rsidRDefault="007B16E8" w:rsidP="00D230F9">
      <w:pPr>
        <w:rPr>
          <w:sz w:val="24"/>
          <w:szCs w:val="24"/>
        </w:rPr>
      </w:pPr>
      <w:r>
        <w:rPr>
          <w:sz w:val="24"/>
          <w:szCs w:val="24"/>
        </w:rPr>
        <w:t>Solve My Maths</w:t>
      </w:r>
    </w:p>
    <w:p w:rsidR="00D230F9" w:rsidRDefault="00D230F9" w:rsidP="00D230F9">
      <w:pPr>
        <w:ind w:left="360"/>
        <w:rPr>
          <w:rFonts w:cs="Arial"/>
        </w:rPr>
      </w:pPr>
    </w:p>
    <w:p w:rsidR="00D230F9" w:rsidRDefault="00D230F9" w:rsidP="00165F65"/>
    <w:p w:rsidR="00F773E2" w:rsidRPr="00F773E2" w:rsidRDefault="00F773E2" w:rsidP="00165F65">
      <w:pPr>
        <w:rPr>
          <w:color w:val="FF0000"/>
        </w:rPr>
      </w:pPr>
    </w:p>
    <w:sectPr w:rsidR="00F773E2" w:rsidRPr="00F773E2" w:rsidSect="008641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7F9E"/>
    <w:multiLevelType w:val="hybridMultilevel"/>
    <w:tmpl w:val="41DE6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B"/>
    <w:rsid w:val="00014735"/>
    <w:rsid w:val="000A7712"/>
    <w:rsid w:val="00165F65"/>
    <w:rsid w:val="00171C37"/>
    <w:rsid w:val="00176701"/>
    <w:rsid w:val="0018376F"/>
    <w:rsid w:val="001C15C1"/>
    <w:rsid w:val="00227773"/>
    <w:rsid w:val="00334F74"/>
    <w:rsid w:val="004A0665"/>
    <w:rsid w:val="004B079B"/>
    <w:rsid w:val="00552110"/>
    <w:rsid w:val="00660D4D"/>
    <w:rsid w:val="007B16E8"/>
    <w:rsid w:val="008641FD"/>
    <w:rsid w:val="00947A14"/>
    <w:rsid w:val="00C336E6"/>
    <w:rsid w:val="00D230F9"/>
    <w:rsid w:val="00D47BC6"/>
    <w:rsid w:val="00D813AB"/>
    <w:rsid w:val="00E550C4"/>
    <w:rsid w:val="00E93DC4"/>
    <w:rsid w:val="00EB4390"/>
    <w:rsid w:val="00F66963"/>
    <w:rsid w:val="00F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8526B-B749-4326-9A95-213010E7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Fuller</dc:creator>
  <cp:lastModifiedBy>Darren Astbury</cp:lastModifiedBy>
  <cp:revision>2</cp:revision>
  <cp:lastPrinted>2016-07-08T10:26:00Z</cp:lastPrinted>
  <dcterms:created xsi:type="dcterms:W3CDTF">2017-08-24T10:24:00Z</dcterms:created>
  <dcterms:modified xsi:type="dcterms:W3CDTF">2017-08-24T10:24:00Z</dcterms:modified>
</cp:coreProperties>
</file>